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83B69" w14:textId="77777777" w:rsidR="00F9516D" w:rsidRDefault="00000000">
      <w:pPr>
        <w:jc w:val="center"/>
      </w:pPr>
      <w:r>
        <w:rPr>
          <w:b/>
          <w:sz w:val="32"/>
        </w:rPr>
        <w:t>Seymour Library — Two-Year Trend Narrative (2024–2025)</w:t>
      </w:r>
    </w:p>
    <w:p w14:paraId="61786B6D" w14:textId="77777777" w:rsidR="00F9516D" w:rsidRDefault="00000000">
      <w:r>
        <w:rPr>
          <w:b/>
          <w:sz w:val="24"/>
        </w:rPr>
        <w:t>Overview</w:t>
      </w:r>
    </w:p>
    <w:p w14:paraId="63BE10E8" w14:textId="77777777" w:rsidR="00F9516D" w:rsidRDefault="00000000">
      <w:r>
        <w:t>Over the 2024–2025 period, Seymour Library experienced sustained and meaningful growth across programming, building utilization, and circulation. These two years reflect a clear trajectory of increasing community reliance on the library as a center for learning, connection, digital access, and civic engagement. While 2024 focused on recovery, stabilization, and infrastructure investment, 2025 reflects expanded service delivery and deeper community engagement.</w:t>
      </w:r>
    </w:p>
    <w:p w14:paraId="0D9B8C18" w14:textId="77777777" w:rsidR="00F9516D" w:rsidRDefault="00F9516D"/>
    <w:p w14:paraId="235A3935" w14:textId="77777777" w:rsidR="00F9516D" w:rsidRDefault="00000000">
      <w:r>
        <w:rPr>
          <w:b/>
          <w:sz w:val="24"/>
        </w:rPr>
        <w:t>Programming and Community Engagement</w:t>
      </w:r>
    </w:p>
    <w:p w14:paraId="57515A7A" w14:textId="77777777" w:rsidR="00F9516D" w:rsidRDefault="00000000">
      <w:r>
        <w:t>In 2024, the library expanded programming significantly, increasing offerings and attendance across all age groups, with Children’s Services serving as a primary driver of engagement. In 2025, this growth accelerated, particularly through Summer Reading and children’s programming for ages 6–11, which saw major increases in participation. The library also transitioned away from asynchronous programming in favor of live, interactive formats aligned with community demand.</w:t>
      </w:r>
    </w:p>
    <w:p w14:paraId="6708EB4F" w14:textId="77777777" w:rsidR="00F9516D" w:rsidRDefault="00F9516D"/>
    <w:p w14:paraId="5C38329A" w14:textId="77777777" w:rsidR="00F9516D" w:rsidRDefault="00000000">
      <w:r>
        <w:rPr>
          <w:b/>
          <w:sz w:val="24"/>
        </w:rPr>
        <w:t>Building Usage and Public Space Demand</w:t>
      </w:r>
    </w:p>
    <w:p w14:paraId="72FA3647" w14:textId="77777777" w:rsidR="00F9516D" w:rsidRDefault="00000000">
      <w:r>
        <w:t>In 2024, building usage increased steadily, with higher visitation and strong demand for meeting and study rooms. In 2025, this trend intensified, with significant increases in both meeting room and study room requests, reinforcing the library’s role as a flexible third space for work, study, and collaboration. Overall visitation continued to rise, demonstrating sustained community reliance on physical library space.</w:t>
      </w:r>
    </w:p>
    <w:p w14:paraId="0401370F" w14:textId="77777777" w:rsidR="00F9516D" w:rsidRDefault="00F9516D"/>
    <w:p w14:paraId="3DA9F844" w14:textId="77777777" w:rsidR="00F9516D" w:rsidRDefault="00000000">
      <w:r>
        <w:rPr>
          <w:b/>
          <w:sz w:val="24"/>
        </w:rPr>
        <w:t>Circulation and Information Access</w:t>
      </w:r>
    </w:p>
    <w:p w14:paraId="3CA61CEC" w14:textId="77777777" w:rsidR="00F9516D" w:rsidRDefault="00000000">
      <w:r>
        <w:t>In 2024, circulation returned to pre-pandemic levels, demonstrating stability in physical lending services. In 2025, circulation continued to grow modestly, while digital lending increased more significantly. The library also shifted toward increased lending to other institutions, strengthening its role within the regional library network.</w:t>
      </w:r>
    </w:p>
    <w:p w14:paraId="4BB069DE" w14:textId="77777777" w:rsidR="00F9516D" w:rsidRDefault="00F9516D"/>
    <w:p w14:paraId="27102B91" w14:textId="77777777" w:rsidR="00AB420B" w:rsidRDefault="00AB420B"/>
    <w:p w14:paraId="488F26D5" w14:textId="77777777" w:rsidR="00AB420B" w:rsidRDefault="00AB420B"/>
    <w:p w14:paraId="49DA4536" w14:textId="77777777" w:rsidR="00F9516D" w:rsidRDefault="00000000">
      <w:r>
        <w:rPr>
          <w:b/>
          <w:sz w:val="24"/>
        </w:rPr>
        <w:lastRenderedPageBreak/>
        <w:t>Strategic Continuity and System Evolution</w:t>
      </w:r>
    </w:p>
    <w:p w14:paraId="559E011B" w14:textId="77777777" w:rsidR="00F9516D" w:rsidRDefault="00000000">
      <w:r>
        <w:t>Across both years, key trends emerged: increased physical space usage, sustained growth in programming participation, stable circulation with expanding digital access, and a shift toward high-engagement service models. These trends demonstrate the library’s ongoing evolution into a more active, responsive, and essential community institution.</w:t>
      </w:r>
    </w:p>
    <w:p w14:paraId="299D5681" w14:textId="77777777" w:rsidR="00F9516D" w:rsidRDefault="00F9516D"/>
    <w:p w14:paraId="140C69B5" w14:textId="77777777" w:rsidR="00F9516D" w:rsidRDefault="00000000">
      <w:r>
        <w:rPr>
          <w:b/>
          <w:sz w:val="24"/>
        </w:rPr>
        <w:t>Overall Community Impact</w:t>
      </w:r>
    </w:p>
    <w:p w14:paraId="3B400C3C" w14:textId="77777777" w:rsidR="00F9516D" w:rsidRDefault="00000000">
      <w:r>
        <w:t>The library continues to function as a learning center, community space, and access point for information. It supports literacy, lifelong learning, workforce readiness, and civic engagement while providing equitable access to resources and space for all residents.</w:t>
      </w:r>
    </w:p>
    <w:p w14:paraId="23223E94" w14:textId="77777777" w:rsidR="00F9516D" w:rsidRDefault="00F9516D"/>
    <w:p w14:paraId="73C77301" w14:textId="77777777" w:rsidR="00F9516D" w:rsidRDefault="00000000">
      <w:r>
        <w:rPr>
          <w:b/>
          <w:sz w:val="24"/>
        </w:rPr>
        <w:t>Strategic Implications</w:t>
      </w:r>
    </w:p>
    <w:p w14:paraId="4593D2E4" w14:textId="77777777" w:rsidR="00F9516D" w:rsidRDefault="00000000">
      <w:r>
        <w:t>Continued investment is recommended in youth programming, facility capacity, digital collections, staffing models, and long-term planning. The library is experiencing sustained growth in demand and will require continued support to maintain service quality and accessibility.</w:t>
      </w:r>
    </w:p>
    <w:p w14:paraId="530E5376" w14:textId="77777777" w:rsidR="00F9516D" w:rsidRDefault="00F9516D"/>
    <w:sectPr w:rsidR="00F9516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66686527">
    <w:abstractNumId w:val="8"/>
  </w:num>
  <w:num w:numId="2" w16cid:durableId="142241643">
    <w:abstractNumId w:val="6"/>
  </w:num>
  <w:num w:numId="3" w16cid:durableId="1843422965">
    <w:abstractNumId w:val="5"/>
  </w:num>
  <w:num w:numId="4" w16cid:durableId="1674067910">
    <w:abstractNumId w:val="4"/>
  </w:num>
  <w:num w:numId="5" w16cid:durableId="1582909750">
    <w:abstractNumId w:val="7"/>
  </w:num>
  <w:num w:numId="6" w16cid:durableId="1172451136">
    <w:abstractNumId w:val="3"/>
  </w:num>
  <w:num w:numId="7" w16cid:durableId="940917924">
    <w:abstractNumId w:val="2"/>
  </w:num>
  <w:num w:numId="8" w16cid:durableId="1698653070">
    <w:abstractNumId w:val="1"/>
  </w:num>
  <w:num w:numId="9" w16cid:durableId="1785344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33947"/>
    <w:rsid w:val="00AA1D8D"/>
    <w:rsid w:val="00AB420B"/>
    <w:rsid w:val="00B47730"/>
    <w:rsid w:val="00CB0664"/>
    <w:rsid w:val="00D96647"/>
    <w:rsid w:val="00F9516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BF2CEC"/>
  <w14:defaultImageDpi w14:val="300"/>
  <w15:docId w15:val="{943A4CFA-A621-4194-AC70-9EFD56466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479</Words>
  <Characters>2382</Characters>
  <Application>Microsoft Office Word</Application>
  <DocSecurity>0</DocSecurity>
  <Lines>113</Lines>
  <Paragraphs>102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Pittman, Patrick</cp:lastModifiedBy>
  <cp:revision>2</cp:revision>
  <dcterms:created xsi:type="dcterms:W3CDTF">2026-05-12T22:29:00Z</dcterms:created>
  <dcterms:modified xsi:type="dcterms:W3CDTF">2026-05-12T22:29:00Z</dcterms:modified>
  <cp:category/>
</cp:coreProperties>
</file>