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F06CC" w14:textId="77777777" w:rsidR="00D82BC2" w:rsidRDefault="00D82BC2" w:rsidP="00D82BC2">
      <w:pPr>
        <w:pStyle w:val="Default"/>
      </w:pPr>
    </w:p>
    <w:p w14:paraId="03126AE6" w14:textId="77777777" w:rsidR="00D82BC2" w:rsidRDefault="00D82BC2" w:rsidP="00D82BC2">
      <w:pPr>
        <w:jc w:val="center"/>
        <w:rPr>
          <w:b/>
          <w:bCs/>
          <w:sz w:val="24"/>
          <w:szCs w:val="24"/>
        </w:rPr>
      </w:pPr>
      <w:r>
        <w:t xml:space="preserve"> </w:t>
      </w:r>
      <w:r w:rsidRPr="003757E1">
        <w:rPr>
          <w:b/>
          <w:bCs/>
          <w:sz w:val="24"/>
          <w:szCs w:val="24"/>
        </w:rPr>
        <w:t xml:space="preserve">Director’s Report: Submitted by </w:t>
      </w:r>
      <w:r>
        <w:rPr>
          <w:b/>
          <w:bCs/>
          <w:sz w:val="24"/>
          <w:szCs w:val="24"/>
        </w:rPr>
        <w:t>Patrick Pittman</w:t>
      </w:r>
    </w:p>
    <w:p w14:paraId="14946EB6" w14:textId="7050074D" w:rsidR="00D82BC2" w:rsidRDefault="00BB6559" w:rsidP="000B25C2">
      <w:pPr>
        <w:jc w:val="center"/>
        <w:rPr>
          <w:b/>
          <w:bCs/>
          <w:sz w:val="24"/>
          <w:szCs w:val="24"/>
        </w:rPr>
      </w:pPr>
      <w:r>
        <w:rPr>
          <w:b/>
          <w:bCs/>
          <w:sz w:val="24"/>
          <w:szCs w:val="24"/>
        </w:rPr>
        <w:t>August</w:t>
      </w:r>
      <w:r w:rsidR="00FD7949">
        <w:rPr>
          <w:b/>
          <w:bCs/>
          <w:sz w:val="24"/>
          <w:szCs w:val="24"/>
        </w:rPr>
        <w:t xml:space="preserve"> 2025</w:t>
      </w:r>
    </w:p>
    <w:p w14:paraId="6C730CF8" w14:textId="6BBD5EBE" w:rsidR="00F12A21" w:rsidRDefault="00D82BC2" w:rsidP="00D82BC2">
      <w:pPr>
        <w:rPr>
          <w:b/>
          <w:bCs/>
          <w:sz w:val="24"/>
          <w:szCs w:val="24"/>
        </w:rPr>
      </w:pPr>
      <w:r w:rsidRPr="002A6AF9">
        <w:rPr>
          <w:b/>
          <w:bCs/>
          <w:sz w:val="24"/>
          <w:szCs w:val="24"/>
        </w:rPr>
        <w:t>Director’s Focus</w:t>
      </w:r>
      <w:r w:rsidR="00F12A21">
        <w:rPr>
          <w:b/>
          <w:bCs/>
          <w:sz w:val="24"/>
          <w:szCs w:val="24"/>
        </w:rPr>
        <w:t>:</w:t>
      </w:r>
    </w:p>
    <w:p w14:paraId="2953C444" w14:textId="7E36562C" w:rsidR="00F12A21" w:rsidRPr="00F12A21" w:rsidRDefault="009739B9" w:rsidP="00D82BC2">
      <w:pPr>
        <w:rPr>
          <w:b/>
          <w:bCs/>
          <w:sz w:val="24"/>
          <w:szCs w:val="24"/>
        </w:rPr>
      </w:pPr>
      <w:r>
        <w:rPr>
          <w:sz w:val="23"/>
          <w:szCs w:val="23"/>
        </w:rPr>
        <w:t xml:space="preserve">Pending Grants; </w:t>
      </w:r>
      <w:r w:rsidR="00BB6559">
        <w:rPr>
          <w:sz w:val="23"/>
          <w:szCs w:val="23"/>
        </w:rPr>
        <w:t>Future Construction</w:t>
      </w:r>
      <w:r w:rsidR="004D33D1">
        <w:rPr>
          <w:sz w:val="23"/>
          <w:szCs w:val="23"/>
        </w:rPr>
        <w:t xml:space="preserve"> </w:t>
      </w:r>
    </w:p>
    <w:p w14:paraId="02EC69D3" w14:textId="69A685B7" w:rsidR="00D82BC2" w:rsidRPr="00D82BC2" w:rsidRDefault="00D82BC2" w:rsidP="00D82BC2">
      <w:pPr>
        <w:rPr>
          <w:b/>
          <w:bCs/>
          <w:sz w:val="24"/>
          <w:szCs w:val="24"/>
        </w:rPr>
      </w:pPr>
      <w:r w:rsidRPr="002B2CC9">
        <w:rPr>
          <w:b/>
          <w:bCs/>
          <w:sz w:val="24"/>
          <w:szCs w:val="24"/>
        </w:rPr>
        <w:t>Personnel:</w:t>
      </w:r>
      <w:r>
        <w:rPr>
          <w:b/>
          <w:bCs/>
          <w:sz w:val="24"/>
          <w:szCs w:val="24"/>
        </w:rPr>
        <w:t xml:space="preserve"> </w:t>
      </w:r>
      <w:r>
        <w:rPr>
          <w:sz w:val="23"/>
          <w:szCs w:val="23"/>
        </w:rPr>
        <w:t xml:space="preserve">See Personnel Committee report. </w:t>
      </w:r>
    </w:p>
    <w:p w14:paraId="57633589" w14:textId="171E5D42" w:rsidR="00D82BC2" w:rsidRDefault="00D82BC2" w:rsidP="00D82BC2">
      <w:pPr>
        <w:pStyle w:val="Default"/>
        <w:rPr>
          <w:sz w:val="23"/>
          <w:szCs w:val="23"/>
        </w:rPr>
      </w:pPr>
      <w:r>
        <w:rPr>
          <w:b/>
          <w:bCs/>
        </w:rPr>
        <w:t>Finance</w:t>
      </w:r>
      <w:r w:rsidRPr="002B2CC9">
        <w:rPr>
          <w:b/>
          <w:bCs/>
        </w:rPr>
        <w:t>:</w:t>
      </w:r>
      <w:r>
        <w:rPr>
          <w:b/>
          <w:bCs/>
        </w:rPr>
        <w:t xml:space="preserve"> </w:t>
      </w:r>
      <w:r>
        <w:rPr>
          <w:sz w:val="23"/>
          <w:szCs w:val="23"/>
        </w:rPr>
        <w:t xml:space="preserve">See Finance Committee report. </w:t>
      </w:r>
    </w:p>
    <w:p w14:paraId="5DB580E3" w14:textId="77777777" w:rsidR="00D82BC2" w:rsidRDefault="00D82BC2" w:rsidP="00D82BC2">
      <w:pPr>
        <w:pStyle w:val="Default"/>
        <w:rPr>
          <w:sz w:val="23"/>
          <w:szCs w:val="23"/>
        </w:rPr>
      </w:pPr>
    </w:p>
    <w:p w14:paraId="63AD8A1C" w14:textId="234A196F" w:rsidR="00D82BC2" w:rsidRDefault="00D82BC2" w:rsidP="00D82BC2">
      <w:pPr>
        <w:pStyle w:val="Default"/>
        <w:rPr>
          <w:sz w:val="23"/>
          <w:szCs w:val="23"/>
        </w:rPr>
      </w:pPr>
      <w:r>
        <w:rPr>
          <w:b/>
          <w:bCs/>
        </w:rPr>
        <w:t>Facilities</w:t>
      </w:r>
      <w:r w:rsidRPr="002B2CC9">
        <w:rPr>
          <w:b/>
          <w:bCs/>
        </w:rPr>
        <w:t>:</w:t>
      </w:r>
      <w:r>
        <w:rPr>
          <w:b/>
          <w:bCs/>
        </w:rPr>
        <w:t xml:space="preserve"> </w:t>
      </w:r>
      <w:r>
        <w:rPr>
          <w:sz w:val="23"/>
          <w:szCs w:val="23"/>
        </w:rPr>
        <w:t xml:space="preserve">See Facilities report. </w:t>
      </w:r>
    </w:p>
    <w:p w14:paraId="378FA04A" w14:textId="77777777" w:rsidR="00D82BC2" w:rsidRDefault="00D82BC2" w:rsidP="00D82BC2">
      <w:pPr>
        <w:pStyle w:val="Default"/>
        <w:rPr>
          <w:sz w:val="23"/>
          <w:szCs w:val="23"/>
        </w:rPr>
      </w:pPr>
    </w:p>
    <w:p w14:paraId="53DBB036" w14:textId="72D34313" w:rsidR="00D82BC2" w:rsidRDefault="00D82BC2" w:rsidP="00D82BC2">
      <w:pPr>
        <w:pStyle w:val="Default"/>
        <w:rPr>
          <w:sz w:val="23"/>
          <w:szCs w:val="23"/>
        </w:rPr>
      </w:pPr>
      <w:r>
        <w:rPr>
          <w:b/>
          <w:bCs/>
        </w:rPr>
        <w:t>Policy</w:t>
      </w:r>
      <w:r w:rsidRPr="002B2CC9">
        <w:rPr>
          <w:b/>
          <w:bCs/>
        </w:rPr>
        <w:t>:</w:t>
      </w:r>
      <w:r>
        <w:rPr>
          <w:b/>
          <w:bCs/>
        </w:rPr>
        <w:t xml:space="preserve"> </w:t>
      </w:r>
      <w:r>
        <w:rPr>
          <w:sz w:val="23"/>
          <w:szCs w:val="23"/>
        </w:rPr>
        <w:t xml:space="preserve">See Policies Committee report. </w:t>
      </w:r>
    </w:p>
    <w:p w14:paraId="67EC2724" w14:textId="77777777" w:rsidR="00D82BC2" w:rsidRDefault="00D82BC2" w:rsidP="00D82BC2">
      <w:pPr>
        <w:pStyle w:val="Default"/>
        <w:rPr>
          <w:b/>
          <w:bCs/>
          <w:sz w:val="23"/>
          <w:szCs w:val="23"/>
        </w:rPr>
      </w:pPr>
    </w:p>
    <w:p w14:paraId="460529EA" w14:textId="77777777" w:rsidR="0090596D" w:rsidRDefault="00D82BC2" w:rsidP="00971440">
      <w:pPr>
        <w:pStyle w:val="Default"/>
      </w:pPr>
      <w:r>
        <w:rPr>
          <w:b/>
          <w:bCs/>
        </w:rPr>
        <w:t>Library Function</w:t>
      </w:r>
      <w:r w:rsidR="00F12A21">
        <w:rPr>
          <w:b/>
          <w:bCs/>
        </w:rPr>
        <w:t>:</w:t>
      </w:r>
      <w:r w:rsidR="00E90778">
        <w:rPr>
          <w:b/>
          <w:bCs/>
        </w:rPr>
        <w:t xml:space="preserve"> </w:t>
      </w:r>
      <w:r w:rsidR="00A11C11">
        <w:t xml:space="preserve">Library staff described the 2025 Summer Reading Program (SRP) as the likely “peak” of meeting the library’s goals for summer reading. The Youth Services Department had 415 registrations, up from last year’s 230. Total logged minutes read came to 162,724. Total program attendance jumped from 2,450 attendees to 2,689 attendees. This general trend showed in Tween/Teen and Adult as well. Looking beyond the numbers, each staff member independently observed the consistency with which summer reading participants came to the library. </w:t>
      </w:r>
    </w:p>
    <w:p w14:paraId="763C652D" w14:textId="77777777" w:rsidR="0090596D" w:rsidRDefault="0090596D" w:rsidP="00971440">
      <w:pPr>
        <w:pStyle w:val="Default"/>
      </w:pPr>
    </w:p>
    <w:p w14:paraId="5D630A49" w14:textId="4F25BFD0" w:rsidR="001B72BA" w:rsidRDefault="00A11C11" w:rsidP="00971440">
      <w:pPr>
        <w:pStyle w:val="Default"/>
      </w:pPr>
      <w:r>
        <w:t xml:space="preserve">This stands in stark contrast to prior years, in which summer reading programs went boom or bust. The way the librarians implemented patron feedback from 2023 and 2024 showed in 2025. This year’s SRP sets the tone and cadence for almost every element of future Seymour Summer Reading Programs. Patron feedback surveys have undergone evaluation, with a report slated for next month. </w:t>
      </w:r>
    </w:p>
    <w:p w14:paraId="63586626" w14:textId="77777777" w:rsidR="001B72BA" w:rsidRDefault="001B72BA" w:rsidP="00971440">
      <w:pPr>
        <w:pStyle w:val="Default"/>
      </w:pPr>
    </w:p>
    <w:p w14:paraId="576E3004" w14:textId="19E9836E" w:rsidR="00C1022F" w:rsidRDefault="00A11C11" w:rsidP="00E711C5">
      <w:pPr>
        <w:pStyle w:val="Default"/>
      </w:pPr>
      <w:r>
        <w:t xml:space="preserve">August’s building usage in 2025 aligns much closer to the trends and expectations from prior year analysis. The disparity in numbers from July created some concerns, but it appears July acted as an aberration. August 2024 had 6,339 patron visits over 237 hours, amounting to </w:t>
      </w:r>
      <w:r w:rsidR="00882F73">
        <w:t xml:space="preserve">26.75 patrons served per hour. August 2025 saw 6,628 visits over 225 hours, for a total of 29.5 pph. The raw numbers align with the anticipated 5-7% increase in library usage in other months. The stabilization of usage within parameters of expectation keeps the library moving as anticipated, likely to the end of the year. </w:t>
      </w:r>
    </w:p>
    <w:p w14:paraId="464776C5" w14:textId="77777777" w:rsidR="00882F73" w:rsidRDefault="00882F73" w:rsidP="00E711C5">
      <w:pPr>
        <w:pStyle w:val="Default"/>
      </w:pPr>
    </w:p>
    <w:p w14:paraId="265BC786" w14:textId="77777777" w:rsidR="0090596D" w:rsidRDefault="00882F73" w:rsidP="00E711C5">
      <w:pPr>
        <w:pStyle w:val="Default"/>
      </w:pPr>
      <w:r>
        <w:t xml:space="preserve">Circulation of items shows some signs of rebounding but still came down from August 2024 by about 500 total items. The staff started moving into grant funded pools of earmarked funds to begin mass purchasing e-books and audiobooks through Libby. This effort should bring circulation up as the year winds down. However, “mass purchasing” has a different standard than even a year or two ago. Titles cost roughly the same, dollar for dollar, but have converted to leased media. </w:t>
      </w:r>
    </w:p>
    <w:p w14:paraId="47F02231" w14:textId="06026EA8" w:rsidR="000B25C2" w:rsidRDefault="00882F73" w:rsidP="00E711C5">
      <w:pPr>
        <w:pStyle w:val="Default"/>
      </w:pPr>
      <w:r>
        <w:lastRenderedPageBreak/>
        <w:t xml:space="preserve">These leases will expire after 12/24/30 months, while still only allowing one user to access the media at a time. If the title lease expires, the library will need to repurchase it. The general pressure of costs related to digital borrowing continues to rise, bringing the question of how the library could afford to compete in this space without grant funding. So, “mass purchasing”, in this context, represents the total dollar amount spent instead of the items purchased. </w:t>
      </w:r>
    </w:p>
    <w:p w14:paraId="159F0AA5" w14:textId="77777777" w:rsidR="000B25C2" w:rsidRDefault="000B25C2" w:rsidP="00E711C5">
      <w:pPr>
        <w:pStyle w:val="Default"/>
      </w:pPr>
    </w:p>
    <w:p w14:paraId="103B6279" w14:textId="0A6E82C7" w:rsidR="00AD397D" w:rsidRDefault="00882F73" w:rsidP="00E711C5">
      <w:pPr>
        <w:pStyle w:val="Default"/>
      </w:pPr>
      <w:r>
        <w:t xml:space="preserve">August continued with </w:t>
      </w:r>
      <w:r w:rsidR="0083509E">
        <w:t xml:space="preserve">programs emphasizing literacy and STEM first. Programs of note include a Dungeons and Dragons campaign, which lasted for over 4 weeks. A teenager led a dungeon master, and brought together 12 tweens and teens to think critically and read directives to accomplish tasks set by the DM. The library will likely ask the teen to host another campaign. Summer reading ended with jazz and literary trivia, catering more to an adult audience. Children did get into the spirit, and it included all interested patrons. August overall felt more relaxed than June and July, but the Summer Reading Program takes a mental and physical toll on all library employees. Vacations have started on a staggering basis, as September represents a lull in library traffic. </w:t>
      </w:r>
    </w:p>
    <w:p w14:paraId="5185A203" w14:textId="77777777" w:rsidR="00AE4F15" w:rsidRDefault="00AE4F15" w:rsidP="00E711C5">
      <w:pPr>
        <w:pStyle w:val="Default"/>
      </w:pPr>
    </w:p>
    <w:p w14:paraId="708E4D3C" w14:textId="292A68D2" w:rsidR="00AE4F15" w:rsidRDefault="0083509E" w:rsidP="00E711C5">
      <w:pPr>
        <w:pStyle w:val="Default"/>
      </w:pPr>
      <w:r>
        <w:t xml:space="preserve">The library represented itself at the Brockport Arts Festival and Clarkson Good Neighbor Day. Librarians asked families to vote for the next book featured at the Sweden Town Park Story Walk (temporary), with a clear winner chosen. Working through the outreach events helps the library get familiar with individuals and families who might not otherwise visit the library, as well as allowing regular patrons to see the library in the community. </w:t>
      </w:r>
    </w:p>
    <w:p w14:paraId="476B35A9" w14:textId="77777777" w:rsidR="0083509E" w:rsidRDefault="0083509E" w:rsidP="00E711C5">
      <w:pPr>
        <w:pStyle w:val="Default"/>
      </w:pPr>
    </w:p>
    <w:p w14:paraId="66DE863E" w14:textId="77075029" w:rsidR="0083509E" w:rsidRDefault="0083509E" w:rsidP="00E711C5">
      <w:pPr>
        <w:pStyle w:val="Default"/>
      </w:pPr>
      <w:r>
        <w:t>The MCLS Digital Equity Initiative, funded through ARPA, installed a solar table at Corbett Park. The table has Wi-Fi, charging ports, and allows seating under a covered area. Anyone can use these stations, which brings accessibility outside the walls of the library. The community invests in the library as an asset, while the library seeks ways to invest back into the community. This station perfectly encapsulates one way the library can accomplish that mission.</w:t>
      </w:r>
    </w:p>
    <w:p w14:paraId="7A841139" w14:textId="77777777" w:rsidR="00023E0D" w:rsidRDefault="00023E0D" w:rsidP="00E711C5">
      <w:pPr>
        <w:pStyle w:val="Default"/>
      </w:pPr>
    </w:p>
    <w:p w14:paraId="05ABF82C" w14:textId="71A2294F" w:rsidR="00023E0D" w:rsidRDefault="00023E0D" w:rsidP="00E711C5">
      <w:pPr>
        <w:pStyle w:val="Default"/>
      </w:pPr>
      <w:r>
        <w:t>The tri-municipal budget meeting took place on Tuesday, August 26</w:t>
      </w:r>
      <w:r w:rsidRPr="00023E0D">
        <w:rPr>
          <w:vertAlign w:val="superscript"/>
        </w:rPr>
        <w:t>th</w:t>
      </w:r>
      <w:r>
        <w:t xml:space="preserve">. It went well, and the library looks like it will continue moving in the right direction for 2026. Some good feedback came out of the meeting, which the library will implement in its 2026 programming. Thanks to all board members who could attend, the committees who made it possible, and the municipalities, for coming to the table. </w:t>
      </w:r>
    </w:p>
    <w:p w14:paraId="22D538CF" w14:textId="77777777" w:rsidR="00D825EF" w:rsidRDefault="00D825EF" w:rsidP="00D82BC2">
      <w:pPr>
        <w:pStyle w:val="Default"/>
        <w:rPr>
          <w:sz w:val="23"/>
          <w:szCs w:val="23"/>
        </w:rPr>
      </w:pPr>
    </w:p>
    <w:p w14:paraId="6EB029CB" w14:textId="128602C2" w:rsidR="000C4696" w:rsidRDefault="00D82BC2" w:rsidP="00220E4D">
      <w:pPr>
        <w:pStyle w:val="Default"/>
      </w:pPr>
      <w:r>
        <w:rPr>
          <w:b/>
          <w:bCs/>
        </w:rPr>
        <w:t>Looking Ahead</w:t>
      </w:r>
      <w:r w:rsidRPr="002B2CC9">
        <w:rPr>
          <w:b/>
          <w:bCs/>
        </w:rPr>
        <w:t>:</w:t>
      </w:r>
      <w:r>
        <w:rPr>
          <w:b/>
          <w:bCs/>
        </w:rPr>
        <w:t xml:space="preserve"> </w:t>
      </w:r>
      <w:r w:rsidR="004735DE">
        <w:t>Summer reading has ended, which usually creates a slow period to catch up and take vacations. However, September 2025 will break that cycle with several upcoming initiatives. System representatives will come to Seymour on September 24</w:t>
      </w:r>
      <w:r w:rsidR="004735DE" w:rsidRPr="004735DE">
        <w:rPr>
          <w:vertAlign w:val="superscript"/>
        </w:rPr>
        <w:t>th</w:t>
      </w:r>
      <w:r w:rsidR="004735DE">
        <w:t xml:space="preserve"> to install a new server. Patron PCs and shared drives will go down for the day during the installation, which will create some challenges in logistics on that day. The library will not need to worry about losses in connectivity or file sharing for the next 5-7 years after the installation, so it will net as a stressful positive. </w:t>
      </w:r>
      <w:r w:rsidR="00220E4D">
        <w:t xml:space="preserve"> </w:t>
      </w:r>
    </w:p>
    <w:p w14:paraId="6AE8B66F" w14:textId="77777777" w:rsidR="00220E4D" w:rsidRDefault="00220E4D" w:rsidP="00220E4D">
      <w:pPr>
        <w:pStyle w:val="Default"/>
      </w:pPr>
    </w:p>
    <w:p w14:paraId="631CF757" w14:textId="21084855" w:rsidR="00220E4D" w:rsidRDefault="004735DE" w:rsidP="00220E4D">
      <w:pPr>
        <w:pStyle w:val="Default"/>
      </w:pPr>
      <w:r>
        <w:t xml:space="preserve">The Monroe County Library System has also allotted 21 MiFi units for a standing collection to pilot at the Seymour Library. This program, also funded through ARPA, will allow users to </w:t>
      </w:r>
      <w:r>
        <w:lastRenderedPageBreak/>
        <w:t xml:space="preserve">borrow a hot spot for a three-week period. In an area with somewhat underdeveloped broadband, this program can help many households in the service population. Training </w:t>
      </w:r>
      <w:r w:rsidR="00597E31">
        <w:t>in the care</w:t>
      </w:r>
      <w:r>
        <w:t xml:space="preserve"> of the units will take place during the same week as the server installation, and the units will roll out in early October. </w:t>
      </w:r>
    </w:p>
    <w:p w14:paraId="2A072912" w14:textId="77777777" w:rsidR="003E6595" w:rsidRDefault="003E6595" w:rsidP="00220E4D">
      <w:pPr>
        <w:pStyle w:val="Default"/>
      </w:pPr>
    </w:p>
    <w:p w14:paraId="30806DBA" w14:textId="77777777" w:rsidR="004735DE" w:rsidRDefault="003E6595" w:rsidP="00220E4D">
      <w:pPr>
        <w:pStyle w:val="Default"/>
      </w:pPr>
      <w:r>
        <w:t>Lastly, the Foundation has set its annual After Hours fundraiser for Saturday, October 4</w:t>
      </w:r>
      <w:r w:rsidRPr="003E6595">
        <w:rPr>
          <w:vertAlign w:val="superscript"/>
        </w:rPr>
        <w:t>th</w:t>
      </w:r>
      <w:r>
        <w:t>.</w:t>
      </w:r>
      <w:r w:rsidR="004735DE">
        <w:t xml:space="preserve"> After Hours will run from 7:00 pm to 10:00 pm.</w:t>
      </w:r>
      <w:r>
        <w:t xml:space="preserve"> The library will run a program simultaneously,</w:t>
      </w:r>
      <w:r w:rsidR="004735DE">
        <w:t xml:space="preserve"> from 6:00 pm to 9:00 pm,</w:t>
      </w:r>
      <w:r>
        <w:t xml:space="preserve"> in cooperation with the Monroe County Library System and Rochester Museum and Science Center. The program, called “Star Party” for now, will bring telescopes, binoculars, star charts, and scientific expertise to the Seymour lawn</w:t>
      </w:r>
      <w:r w:rsidR="00A33803">
        <w:t xml:space="preserve"> for stargazing. Those attending After Hours will have an opportunity to see the library in action. </w:t>
      </w:r>
    </w:p>
    <w:p w14:paraId="3C13FEAC" w14:textId="77777777" w:rsidR="004735DE" w:rsidRDefault="004735DE" w:rsidP="00220E4D">
      <w:pPr>
        <w:pStyle w:val="Default"/>
      </w:pPr>
    </w:p>
    <w:p w14:paraId="1AE9B064" w14:textId="49FE4E70" w:rsidR="003E6595" w:rsidRDefault="00A33803" w:rsidP="00220E4D">
      <w:pPr>
        <w:pStyle w:val="Default"/>
      </w:pPr>
      <w:r>
        <w:t xml:space="preserve">Observing how the library carries out its mission increases visibility and support and will hopefully encourage participation from those attending After Hours. The Star Party will open to all ages, while After Hours will </w:t>
      </w:r>
      <w:r w:rsidR="00A26B33">
        <w:t>restrict</w:t>
      </w:r>
      <w:r>
        <w:t xml:space="preserve"> ticket holders over the age of 21. </w:t>
      </w:r>
      <w:r w:rsidR="004735DE">
        <w:t xml:space="preserve">The library may or may not have an Outdoor Education Pavilion by the time of After Hours for a potential ribbon cutting. </w:t>
      </w:r>
    </w:p>
    <w:p w14:paraId="30457DA9" w14:textId="0A5F934D" w:rsidR="00B02232" w:rsidRPr="00A26C13" w:rsidRDefault="0010539F" w:rsidP="009E724A">
      <w:pPr>
        <w:pStyle w:val="Default"/>
      </w:pPr>
      <w:r>
        <w:t xml:space="preserve"> </w:t>
      </w:r>
    </w:p>
    <w:p w14:paraId="5E4A0FF4" w14:textId="4C574F20" w:rsidR="00204D67" w:rsidRPr="008A65B3" w:rsidRDefault="00D82BC2" w:rsidP="004735DE">
      <w:pPr>
        <w:pStyle w:val="Default"/>
      </w:pPr>
      <w:r>
        <w:rPr>
          <w:b/>
          <w:bCs/>
        </w:rPr>
        <w:t>In Closing</w:t>
      </w:r>
      <w:r w:rsidRPr="002B2CC9">
        <w:rPr>
          <w:b/>
          <w:bCs/>
        </w:rPr>
        <w:t>:</w:t>
      </w:r>
      <w:r>
        <w:rPr>
          <w:b/>
          <w:bCs/>
        </w:rPr>
        <w:t xml:space="preserve"> </w:t>
      </w:r>
      <w:r w:rsidR="004735DE">
        <w:t xml:space="preserve">The library had a statistically successful Summer Reading Program, which saw the library’s mission intersect directly with patron behavior. Everyone worked exceptionally hard, and this year’s summer reading will set the tone for future SRPs. September, normally a month to catch up and catch a breath, will continue seeing projects unveil at Seymour. The progress the library will see during this time </w:t>
      </w:r>
      <w:r w:rsidR="00C8738B">
        <w:t xml:space="preserve">will look slightly more exponential than most years. October will focus on the mechanics of the library in 2026, primarily in assigning a holiday schedule, a final look at the annual budget for 2026, as well as the finalization of the 2026-2028 Long-Range Plan. </w:t>
      </w:r>
      <w:r w:rsidR="00CF1069" w:rsidRPr="008A65B3">
        <w:t xml:space="preserve"> </w:t>
      </w:r>
    </w:p>
    <w:sectPr w:rsidR="00204D67" w:rsidRPr="008A6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C2"/>
    <w:rsid w:val="00001EBB"/>
    <w:rsid w:val="00007BDC"/>
    <w:rsid w:val="0002290A"/>
    <w:rsid w:val="00023E0D"/>
    <w:rsid w:val="00034501"/>
    <w:rsid w:val="000571EE"/>
    <w:rsid w:val="00062ADF"/>
    <w:rsid w:val="000B25C2"/>
    <w:rsid w:val="000C4696"/>
    <w:rsid w:val="000D04C2"/>
    <w:rsid w:val="000E1512"/>
    <w:rsid w:val="000E3AB0"/>
    <w:rsid w:val="000F04A7"/>
    <w:rsid w:val="00105232"/>
    <w:rsid w:val="0010539F"/>
    <w:rsid w:val="00106DBA"/>
    <w:rsid w:val="00106E0E"/>
    <w:rsid w:val="001147E5"/>
    <w:rsid w:val="0012145D"/>
    <w:rsid w:val="00122085"/>
    <w:rsid w:val="00150389"/>
    <w:rsid w:val="001642E9"/>
    <w:rsid w:val="0019303F"/>
    <w:rsid w:val="00196E77"/>
    <w:rsid w:val="001B72BA"/>
    <w:rsid w:val="001C5BBA"/>
    <w:rsid w:val="001C73DF"/>
    <w:rsid w:val="00204D67"/>
    <w:rsid w:val="00220E4D"/>
    <w:rsid w:val="00220E59"/>
    <w:rsid w:val="002271FB"/>
    <w:rsid w:val="002312CC"/>
    <w:rsid w:val="002818E5"/>
    <w:rsid w:val="00297128"/>
    <w:rsid w:val="0029722C"/>
    <w:rsid w:val="002A5DFA"/>
    <w:rsid w:val="002B3832"/>
    <w:rsid w:val="002C74E0"/>
    <w:rsid w:val="002E796E"/>
    <w:rsid w:val="00322091"/>
    <w:rsid w:val="003304D6"/>
    <w:rsid w:val="003354F2"/>
    <w:rsid w:val="00345230"/>
    <w:rsid w:val="00356B0C"/>
    <w:rsid w:val="003646D5"/>
    <w:rsid w:val="003A0EE1"/>
    <w:rsid w:val="003B6FF0"/>
    <w:rsid w:val="003C1D90"/>
    <w:rsid w:val="003E22EC"/>
    <w:rsid w:val="003E4B57"/>
    <w:rsid w:val="003E6595"/>
    <w:rsid w:val="00403843"/>
    <w:rsid w:val="004074CC"/>
    <w:rsid w:val="00411170"/>
    <w:rsid w:val="0041304A"/>
    <w:rsid w:val="004259B5"/>
    <w:rsid w:val="00426BB2"/>
    <w:rsid w:val="00443426"/>
    <w:rsid w:val="00450517"/>
    <w:rsid w:val="004735DE"/>
    <w:rsid w:val="00474E15"/>
    <w:rsid w:val="004B1EDF"/>
    <w:rsid w:val="004C395A"/>
    <w:rsid w:val="004D33D1"/>
    <w:rsid w:val="004D3F15"/>
    <w:rsid w:val="004D4B0F"/>
    <w:rsid w:val="004D4E70"/>
    <w:rsid w:val="00507FC8"/>
    <w:rsid w:val="00513E84"/>
    <w:rsid w:val="00514E78"/>
    <w:rsid w:val="00530075"/>
    <w:rsid w:val="00536A4E"/>
    <w:rsid w:val="00561A9A"/>
    <w:rsid w:val="005767AB"/>
    <w:rsid w:val="00593540"/>
    <w:rsid w:val="00597E31"/>
    <w:rsid w:val="005B7E74"/>
    <w:rsid w:val="005D261C"/>
    <w:rsid w:val="005E1859"/>
    <w:rsid w:val="005F60B8"/>
    <w:rsid w:val="00614B4E"/>
    <w:rsid w:val="006172B9"/>
    <w:rsid w:val="00617628"/>
    <w:rsid w:val="006300AB"/>
    <w:rsid w:val="006448D3"/>
    <w:rsid w:val="00664097"/>
    <w:rsid w:val="006733AD"/>
    <w:rsid w:val="006828C1"/>
    <w:rsid w:val="006869E2"/>
    <w:rsid w:val="00693B82"/>
    <w:rsid w:val="00697C4B"/>
    <w:rsid w:val="006A443C"/>
    <w:rsid w:val="006B44AF"/>
    <w:rsid w:val="006B6095"/>
    <w:rsid w:val="006D0372"/>
    <w:rsid w:val="006D3192"/>
    <w:rsid w:val="006D4491"/>
    <w:rsid w:val="006E1872"/>
    <w:rsid w:val="006F0F56"/>
    <w:rsid w:val="006F7A57"/>
    <w:rsid w:val="007011C3"/>
    <w:rsid w:val="00711EE2"/>
    <w:rsid w:val="007565FA"/>
    <w:rsid w:val="0078616C"/>
    <w:rsid w:val="007A57E5"/>
    <w:rsid w:val="007B022B"/>
    <w:rsid w:val="007C2E07"/>
    <w:rsid w:val="007C58B5"/>
    <w:rsid w:val="007D0065"/>
    <w:rsid w:val="007D6220"/>
    <w:rsid w:val="007D6C9F"/>
    <w:rsid w:val="007E4678"/>
    <w:rsid w:val="007E5195"/>
    <w:rsid w:val="007E72F7"/>
    <w:rsid w:val="00833012"/>
    <w:rsid w:val="008334D6"/>
    <w:rsid w:val="00833535"/>
    <w:rsid w:val="0083509E"/>
    <w:rsid w:val="00836383"/>
    <w:rsid w:val="0084027E"/>
    <w:rsid w:val="00844288"/>
    <w:rsid w:val="00874CC9"/>
    <w:rsid w:val="00882F73"/>
    <w:rsid w:val="008A65B3"/>
    <w:rsid w:val="008B0644"/>
    <w:rsid w:val="008B2D96"/>
    <w:rsid w:val="008B65FE"/>
    <w:rsid w:val="008E079D"/>
    <w:rsid w:val="0090596D"/>
    <w:rsid w:val="009228BB"/>
    <w:rsid w:val="009330E5"/>
    <w:rsid w:val="00933FFA"/>
    <w:rsid w:val="00971440"/>
    <w:rsid w:val="009739B9"/>
    <w:rsid w:val="0098600B"/>
    <w:rsid w:val="00997175"/>
    <w:rsid w:val="009A4EA9"/>
    <w:rsid w:val="009E4189"/>
    <w:rsid w:val="009E724A"/>
    <w:rsid w:val="009F60C5"/>
    <w:rsid w:val="009F7BDE"/>
    <w:rsid w:val="00A11C11"/>
    <w:rsid w:val="00A13220"/>
    <w:rsid w:val="00A16C75"/>
    <w:rsid w:val="00A26B33"/>
    <w:rsid w:val="00A26C13"/>
    <w:rsid w:val="00A33803"/>
    <w:rsid w:val="00A56A51"/>
    <w:rsid w:val="00A7391F"/>
    <w:rsid w:val="00A73B6D"/>
    <w:rsid w:val="00A8493D"/>
    <w:rsid w:val="00AA5DFC"/>
    <w:rsid w:val="00AD397D"/>
    <w:rsid w:val="00AE4F15"/>
    <w:rsid w:val="00B02232"/>
    <w:rsid w:val="00B0610A"/>
    <w:rsid w:val="00B317BC"/>
    <w:rsid w:val="00B56A70"/>
    <w:rsid w:val="00B70958"/>
    <w:rsid w:val="00B73B8D"/>
    <w:rsid w:val="00B77D02"/>
    <w:rsid w:val="00B83F4D"/>
    <w:rsid w:val="00B87F4D"/>
    <w:rsid w:val="00BB10C6"/>
    <w:rsid w:val="00BB6559"/>
    <w:rsid w:val="00BC4A9D"/>
    <w:rsid w:val="00BD1250"/>
    <w:rsid w:val="00BE3581"/>
    <w:rsid w:val="00BF6283"/>
    <w:rsid w:val="00C04FFA"/>
    <w:rsid w:val="00C1022F"/>
    <w:rsid w:val="00C64BB9"/>
    <w:rsid w:val="00C65222"/>
    <w:rsid w:val="00C70D12"/>
    <w:rsid w:val="00C8738B"/>
    <w:rsid w:val="00C91C3C"/>
    <w:rsid w:val="00C91CED"/>
    <w:rsid w:val="00C948F0"/>
    <w:rsid w:val="00CD5680"/>
    <w:rsid w:val="00CE455D"/>
    <w:rsid w:val="00CE7831"/>
    <w:rsid w:val="00CF0730"/>
    <w:rsid w:val="00CF1069"/>
    <w:rsid w:val="00D05D90"/>
    <w:rsid w:val="00D30EB9"/>
    <w:rsid w:val="00D325D8"/>
    <w:rsid w:val="00D349BF"/>
    <w:rsid w:val="00D422D9"/>
    <w:rsid w:val="00D56EEB"/>
    <w:rsid w:val="00D71CDE"/>
    <w:rsid w:val="00D825EF"/>
    <w:rsid w:val="00D82BC2"/>
    <w:rsid w:val="00D94B8E"/>
    <w:rsid w:val="00D95619"/>
    <w:rsid w:val="00DD6BDA"/>
    <w:rsid w:val="00DF0EA6"/>
    <w:rsid w:val="00DF28A8"/>
    <w:rsid w:val="00DF6AEA"/>
    <w:rsid w:val="00E07A78"/>
    <w:rsid w:val="00E21BFF"/>
    <w:rsid w:val="00E25C64"/>
    <w:rsid w:val="00E37C30"/>
    <w:rsid w:val="00E44015"/>
    <w:rsid w:val="00E526E2"/>
    <w:rsid w:val="00E5495A"/>
    <w:rsid w:val="00E66CEC"/>
    <w:rsid w:val="00E711C5"/>
    <w:rsid w:val="00E7220A"/>
    <w:rsid w:val="00E872B9"/>
    <w:rsid w:val="00E905F6"/>
    <w:rsid w:val="00E90778"/>
    <w:rsid w:val="00E90F9B"/>
    <w:rsid w:val="00EA0520"/>
    <w:rsid w:val="00EA399C"/>
    <w:rsid w:val="00EB3377"/>
    <w:rsid w:val="00ED50F6"/>
    <w:rsid w:val="00EE5333"/>
    <w:rsid w:val="00EF1F62"/>
    <w:rsid w:val="00F0225B"/>
    <w:rsid w:val="00F062C4"/>
    <w:rsid w:val="00F12A21"/>
    <w:rsid w:val="00F25170"/>
    <w:rsid w:val="00F27084"/>
    <w:rsid w:val="00F3166B"/>
    <w:rsid w:val="00F350B9"/>
    <w:rsid w:val="00F524B6"/>
    <w:rsid w:val="00F65822"/>
    <w:rsid w:val="00F71EAB"/>
    <w:rsid w:val="00F73842"/>
    <w:rsid w:val="00F939A7"/>
    <w:rsid w:val="00F967DF"/>
    <w:rsid w:val="00FD300F"/>
    <w:rsid w:val="00FD3539"/>
    <w:rsid w:val="00FD3A95"/>
    <w:rsid w:val="00FD5434"/>
    <w:rsid w:val="00FD54F5"/>
    <w:rsid w:val="00FD7949"/>
    <w:rsid w:val="00FE153E"/>
    <w:rsid w:val="00FE189F"/>
    <w:rsid w:val="00FE62D8"/>
    <w:rsid w:val="00FF0CCE"/>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B46D"/>
  <w15:chartTrackingRefBased/>
  <w15:docId w15:val="{261F7F15-222C-40AC-99CB-1EB48036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C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2BC2"/>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Pittman</dc:creator>
  <cp:keywords/>
  <dc:description/>
  <cp:lastModifiedBy>Pittman, Patrick</cp:lastModifiedBy>
  <cp:revision>5</cp:revision>
  <cp:lastPrinted>2025-05-13T22:53:00Z</cp:lastPrinted>
  <dcterms:created xsi:type="dcterms:W3CDTF">2025-09-10T20:33:00Z</dcterms:created>
  <dcterms:modified xsi:type="dcterms:W3CDTF">2025-09-11T15:52:00Z</dcterms:modified>
</cp:coreProperties>
</file>